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4F" w:rsidRDefault="00C16708" w:rsidP="00C16708">
      <w:pPr>
        <w:jc w:val="center"/>
        <w:rPr>
          <w:rFonts w:ascii="Impact" w:hAnsi="Impact"/>
          <w:w w:val="105"/>
          <w:sz w:val="46"/>
        </w:rPr>
      </w:pPr>
      <w:r>
        <w:rPr>
          <w:rFonts w:ascii="Impact" w:hAnsi="Impact"/>
          <w:w w:val="105"/>
          <w:sz w:val="46"/>
        </w:rPr>
        <w:t>Guidelines for Production Team Applications</w:t>
      </w:r>
    </w:p>
    <w:p w:rsidR="00C16708" w:rsidRDefault="00C16708" w:rsidP="00C16708">
      <w:pPr>
        <w:jc w:val="center"/>
        <w:rPr>
          <w:rFonts w:ascii="Impact" w:hAnsi="Impact"/>
          <w:w w:val="105"/>
          <w:sz w:val="46"/>
        </w:rPr>
      </w:pPr>
    </w:p>
    <w:p w:rsidR="00C16708" w:rsidRDefault="00C16708" w:rsidP="00966F94">
      <w:pPr>
        <w:jc w:val="both"/>
        <w:rPr>
          <w:rFonts w:ascii="Calibri" w:hAnsi="Calibri" w:cs="Calibri"/>
          <w:w w:val="105"/>
        </w:rPr>
      </w:pPr>
      <w:r>
        <w:rPr>
          <w:rFonts w:ascii="Calibri" w:hAnsi="Calibri" w:cs="Calibri"/>
          <w:w w:val="105"/>
        </w:rPr>
        <w:t xml:space="preserve">Following the announcement of a show, the Committee will set out the timescale for applications, to be submitted to the secretary by the published deadline (using the above email address).  Any applications submitted after the deadline will not be considered, apart from in exceptional circumstances.  Applicants do not need to be a member of the society to apply, and </w:t>
      </w:r>
      <w:r w:rsidR="00966F94">
        <w:rPr>
          <w:rFonts w:ascii="Calibri" w:hAnsi="Calibri" w:cs="Calibri"/>
          <w:w w:val="105"/>
        </w:rPr>
        <w:t>applications are</w:t>
      </w:r>
      <w:r>
        <w:rPr>
          <w:rFonts w:ascii="Calibri" w:hAnsi="Calibri" w:cs="Calibri"/>
          <w:w w:val="105"/>
        </w:rPr>
        <w:t xml:space="preserve"> welcome from all.  </w:t>
      </w:r>
    </w:p>
    <w:p w:rsidR="00C16708" w:rsidRPr="00966F94" w:rsidRDefault="00C16708" w:rsidP="00966F94">
      <w:pPr>
        <w:jc w:val="both"/>
        <w:rPr>
          <w:rFonts w:ascii="Calibri" w:hAnsi="Calibri" w:cs="Calibri"/>
          <w:w w:val="105"/>
        </w:rPr>
      </w:pPr>
    </w:p>
    <w:p w:rsidR="00C16708" w:rsidRPr="00966F94" w:rsidRDefault="00C16708" w:rsidP="00966F94">
      <w:pPr>
        <w:jc w:val="both"/>
        <w:rPr>
          <w:rFonts w:ascii="Calibri" w:hAnsi="Calibri" w:cs="Calibri"/>
          <w:w w:val="105"/>
        </w:rPr>
      </w:pPr>
      <w:r w:rsidRPr="00966F94">
        <w:rPr>
          <w:rFonts w:ascii="Calibri" w:hAnsi="Calibri" w:cs="Calibri"/>
          <w:w w:val="105"/>
        </w:rPr>
        <w:t xml:space="preserve">Applicants are permitted to make joint </w:t>
      </w:r>
      <w:r w:rsidR="00966F94">
        <w:rPr>
          <w:rFonts w:ascii="Calibri" w:hAnsi="Calibri" w:cs="Calibri"/>
          <w:w w:val="105"/>
        </w:rPr>
        <w:t xml:space="preserve">or team </w:t>
      </w:r>
      <w:r w:rsidRPr="00966F94">
        <w:rPr>
          <w:rFonts w:ascii="Calibri" w:hAnsi="Calibri" w:cs="Calibri"/>
          <w:w w:val="105"/>
        </w:rPr>
        <w:t>applications, but this must be clearly stated on each of the individual application form</w:t>
      </w:r>
      <w:r w:rsidR="00966F94">
        <w:rPr>
          <w:rFonts w:ascii="Calibri" w:hAnsi="Calibri" w:cs="Calibri"/>
          <w:w w:val="105"/>
        </w:rPr>
        <w:t>s</w:t>
      </w:r>
      <w:r w:rsidRPr="00966F94">
        <w:rPr>
          <w:rFonts w:ascii="Calibri" w:hAnsi="Calibri" w:cs="Calibri"/>
          <w:w w:val="105"/>
        </w:rPr>
        <w:t>.  This is not a guarantee that a whole team will be successful, and the Committee reserves the right to match applicants as they deem appropriate, and will discuss this further with individual applicants if this situation arises.</w:t>
      </w:r>
    </w:p>
    <w:p w:rsidR="00C16708" w:rsidRPr="00966F94" w:rsidRDefault="00C16708" w:rsidP="00966F94">
      <w:pPr>
        <w:jc w:val="both"/>
        <w:rPr>
          <w:rFonts w:ascii="Calibri" w:hAnsi="Calibri" w:cs="Calibri"/>
          <w:w w:val="105"/>
        </w:rPr>
      </w:pPr>
    </w:p>
    <w:p w:rsidR="00C16708" w:rsidRPr="00966F94" w:rsidRDefault="00C16708" w:rsidP="00966F94">
      <w:pPr>
        <w:jc w:val="both"/>
        <w:rPr>
          <w:rFonts w:ascii="Calibri" w:hAnsi="Calibri" w:cs="Calibri"/>
          <w:w w:val="105"/>
        </w:rPr>
      </w:pPr>
      <w:r w:rsidRPr="00966F94">
        <w:rPr>
          <w:rFonts w:ascii="Calibri" w:hAnsi="Calibri" w:cs="Calibri"/>
          <w:w w:val="105"/>
        </w:rPr>
        <w:t>The various roles are set out below:</w:t>
      </w:r>
    </w:p>
    <w:p w:rsidR="00C16708" w:rsidRPr="00966F94" w:rsidRDefault="00C16708" w:rsidP="00966F94">
      <w:pPr>
        <w:jc w:val="both"/>
        <w:rPr>
          <w:rFonts w:ascii="Calibri" w:hAnsi="Calibri" w:cs="Calibri"/>
          <w:w w:val="105"/>
        </w:rPr>
      </w:pPr>
    </w:p>
    <w:p w:rsidR="00C16708" w:rsidRPr="00966F94" w:rsidRDefault="00C16708" w:rsidP="00966F94">
      <w:pPr>
        <w:jc w:val="both"/>
        <w:rPr>
          <w:rFonts w:ascii="Calibri" w:hAnsi="Calibri" w:cs="Calibri"/>
          <w:b/>
          <w:w w:val="105"/>
        </w:rPr>
      </w:pPr>
      <w:r w:rsidRPr="00966F94">
        <w:rPr>
          <w:rFonts w:ascii="Calibri" w:hAnsi="Calibri" w:cs="Calibri"/>
          <w:b/>
          <w:w w:val="105"/>
        </w:rPr>
        <w:t>Director</w:t>
      </w:r>
    </w:p>
    <w:p w:rsidR="00C16708" w:rsidRPr="00966F94" w:rsidRDefault="00C16708" w:rsidP="00966F94">
      <w:pPr>
        <w:pStyle w:val="ListParagraph"/>
        <w:numPr>
          <w:ilvl w:val="0"/>
          <w:numId w:val="10"/>
        </w:numPr>
        <w:jc w:val="both"/>
        <w:rPr>
          <w:rFonts w:ascii="Calibri" w:hAnsi="Calibri" w:cs="Calibri"/>
          <w:w w:val="105"/>
        </w:rPr>
      </w:pPr>
      <w:r w:rsidRPr="00966F94">
        <w:rPr>
          <w:rFonts w:ascii="Calibri" w:hAnsi="Calibri" w:cs="Calibri"/>
          <w:w w:val="105"/>
        </w:rPr>
        <w:t>Work within the guidelines/licence of the show to ensure its integrity.</w:t>
      </w:r>
    </w:p>
    <w:p w:rsidR="00C16708" w:rsidRPr="00966F94" w:rsidRDefault="00C16708" w:rsidP="00966F94">
      <w:pPr>
        <w:pStyle w:val="ListParagraph"/>
        <w:numPr>
          <w:ilvl w:val="0"/>
          <w:numId w:val="10"/>
        </w:numPr>
        <w:jc w:val="both"/>
        <w:rPr>
          <w:rFonts w:ascii="Calibri" w:hAnsi="Calibri" w:cs="Calibri"/>
          <w:w w:val="105"/>
        </w:rPr>
      </w:pPr>
      <w:r w:rsidRPr="00966F94">
        <w:rPr>
          <w:rFonts w:ascii="Calibri" w:hAnsi="Calibri" w:cs="Calibri"/>
          <w:w w:val="105"/>
        </w:rPr>
        <w:t>Manage the production team,</w:t>
      </w:r>
      <w:r w:rsidR="00A86449" w:rsidRPr="00966F94">
        <w:rPr>
          <w:rFonts w:ascii="Calibri" w:hAnsi="Calibri" w:cs="Calibri"/>
          <w:w w:val="105"/>
        </w:rPr>
        <w:t xml:space="preserve"> and provide clear direction to</w:t>
      </w:r>
      <w:r w:rsidRPr="00966F94">
        <w:rPr>
          <w:rFonts w:ascii="Calibri" w:hAnsi="Calibri" w:cs="Calibri"/>
          <w:w w:val="105"/>
        </w:rPr>
        <w:t xml:space="preserve"> the team</w:t>
      </w:r>
      <w:r w:rsidR="00A86449" w:rsidRPr="00966F94">
        <w:rPr>
          <w:rFonts w:ascii="Calibri" w:hAnsi="Calibri" w:cs="Calibri"/>
          <w:w w:val="105"/>
        </w:rPr>
        <w:t xml:space="preserve"> and cast.</w:t>
      </w:r>
    </w:p>
    <w:p w:rsidR="00A86449" w:rsidRPr="00966F94" w:rsidRDefault="00A86449" w:rsidP="00966F94">
      <w:pPr>
        <w:pStyle w:val="ListParagraph"/>
        <w:numPr>
          <w:ilvl w:val="0"/>
          <w:numId w:val="10"/>
        </w:numPr>
        <w:jc w:val="both"/>
        <w:rPr>
          <w:rFonts w:ascii="Calibri" w:hAnsi="Calibri" w:cs="Calibri"/>
          <w:w w:val="105"/>
        </w:rPr>
      </w:pPr>
      <w:r w:rsidRPr="00966F94">
        <w:rPr>
          <w:rFonts w:ascii="Calibri" w:hAnsi="Calibri" w:cs="Calibri"/>
          <w:w w:val="105"/>
        </w:rPr>
        <w:t>Produce and manage the show budget, ensuring costs are kept within the budget (as approved by the Committee).</w:t>
      </w:r>
    </w:p>
    <w:p w:rsidR="00A86449" w:rsidRPr="00966F94" w:rsidRDefault="00A86449" w:rsidP="00966F94">
      <w:pPr>
        <w:pStyle w:val="ListParagraph"/>
        <w:numPr>
          <w:ilvl w:val="0"/>
          <w:numId w:val="10"/>
        </w:numPr>
        <w:jc w:val="both"/>
        <w:rPr>
          <w:rFonts w:ascii="Calibri" w:hAnsi="Calibri" w:cs="Calibri"/>
          <w:w w:val="105"/>
        </w:rPr>
      </w:pPr>
      <w:r w:rsidRPr="00966F94">
        <w:rPr>
          <w:rFonts w:ascii="Calibri" w:hAnsi="Calibri" w:cs="Calibri"/>
          <w:w w:val="105"/>
        </w:rPr>
        <w:t xml:space="preserve">Plan set designs, stage lighting and sound effects, through the use of third parties. </w:t>
      </w:r>
    </w:p>
    <w:p w:rsidR="00966F94" w:rsidRPr="00966F94" w:rsidRDefault="00966F94" w:rsidP="00966F94">
      <w:pPr>
        <w:pStyle w:val="ListParagraph"/>
        <w:numPr>
          <w:ilvl w:val="0"/>
          <w:numId w:val="10"/>
        </w:numPr>
        <w:jc w:val="both"/>
        <w:rPr>
          <w:rFonts w:ascii="Calibri" w:hAnsi="Calibri" w:cs="Calibri"/>
          <w:b/>
          <w:w w:val="105"/>
        </w:rPr>
      </w:pPr>
      <w:r w:rsidRPr="00966F94">
        <w:rPr>
          <w:rFonts w:ascii="Calibri" w:hAnsi="Calibri" w:cs="Calibri"/>
          <w:w w:val="105"/>
        </w:rPr>
        <w:t>Work closely with the musical director and choreographer to ensure a cohesive approach.</w:t>
      </w:r>
    </w:p>
    <w:p w:rsidR="00A86449" w:rsidRPr="00966F94" w:rsidRDefault="00A86449" w:rsidP="00966F94">
      <w:pPr>
        <w:widowControl/>
        <w:numPr>
          <w:ilvl w:val="0"/>
          <w:numId w:val="10"/>
        </w:numPr>
        <w:autoSpaceDE/>
        <w:autoSpaceDN/>
        <w:jc w:val="both"/>
        <w:rPr>
          <w:rFonts w:ascii="Calibri" w:hAnsi="Calibri" w:cs="Calibri"/>
        </w:rPr>
      </w:pPr>
      <w:r w:rsidRPr="00966F94">
        <w:rPr>
          <w:rFonts w:ascii="Calibri" w:hAnsi="Calibri" w:cs="Calibri"/>
        </w:rPr>
        <w:t>Take responsibility for promoting and safeguarding the welfare of children and young people within the show alongside the lead chaperone and society safeguarding officer.</w:t>
      </w:r>
    </w:p>
    <w:p w:rsidR="00A86449" w:rsidRPr="00966F94" w:rsidRDefault="00A86449" w:rsidP="00966F94">
      <w:pPr>
        <w:pStyle w:val="ListParagraph"/>
        <w:jc w:val="both"/>
        <w:rPr>
          <w:rFonts w:ascii="Calibri" w:hAnsi="Calibri" w:cs="Calibri"/>
          <w:w w:val="105"/>
        </w:rPr>
      </w:pPr>
    </w:p>
    <w:p w:rsidR="00A86449" w:rsidRPr="00966F94" w:rsidRDefault="00A86449" w:rsidP="00966F94">
      <w:pPr>
        <w:jc w:val="both"/>
        <w:rPr>
          <w:rFonts w:ascii="Calibri" w:hAnsi="Calibri" w:cs="Calibri"/>
          <w:b/>
          <w:w w:val="105"/>
        </w:rPr>
      </w:pPr>
      <w:r w:rsidRPr="00966F94">
        <w:rPr>
          <w:rFonts w:ascii="Calibri" w:hAnsi="Calibri" w:cs="Calibri"/>
          <w:b/>
          <w:w w:val="105"/>
        </w:rPr>
        <w:t>Musical Director</w:t>
      </w:r>
    </w:p>
    <w:p w:rsidR="00A86449" w:rsidRPr="00966F94" w:rsidRDefault="00A86449" w:rsidP="00966F94">
      <w:pPr>
        <w:pStyle w:val="ListParagraph"/>
        <w:numPr>
          <w:ilvl w:val="0"/>
          <w:numId w:val="10"/>
        </w:numPr>
        <w:jc w:val="both"/>
        <w:rPr>
          <w:rFonts w:ascii="Calibri" w:hAnsi="Calibri" w:cs="Calibri"/>
          <w:w w:val="105"/>
        </w:rPr>
      </w:pPr>
      <w:r w:rsidRPr="00966F94">
        <w:rPr>
          <w:rFonts w:ascii="Calibri" w:hAnsi="Calibri" w:cs="Calibri"/>
          <w:w w:val="105"/>
        </w:rPr>
        <w:t>Work within the guidelines/</w:t>
      </w:r>
      <w:r w:rsidR="00966F94">
        <w:rPr>
          <w:rFonts w:ascii="Calibri" w:hAnsi="Calibri" w:cs="Calibri"/>
          <w:w w:val="105"/>
        </w:rPr>
        <w:t>licence</w:t>
      </w:r>
      <w:r w:rsidRPr="00966F94">
        <w:rPr>
          <w:rFonts w:ascii="Calibri" w:hAnsi="Calibri" w:cs="Calibri"/>
          <w:w w:val="105"/>
        </w:rPr>
        <w:t xml:space="preserve"> of the show to ensure its musical integrity.</w:t>
      </w:r>
    </w:p>
    <w:p w:rsidR="00A86449" w:rsidRPr="00966F94" w:rsidRDefault="00A86449" w:rsidP="00966F94">
      <w:pPr>
        <w:pStyle w:val="ListParagraph"/>
        <w:numPr>
          <w:ilvl w:val="0"/>
          <w:numId w:val="10"/>
        </w:numPr>
        <w:jc w:val="both"/>
        <w:rPr>
          <w:rFonts w:ascii="Calibri" w:hAnsi="Calibri" w:cs="Calibri"/>
          <w:b/>
          <w:w w:val="105"/>
        </w:rPr>
      </w:pPr>
      <w:r w:rsidRPr="00966F94">
        <w:rPr>
          <w:rFonts w:ascii="Calibri" w:hAnsi="Calibri" w:cs="Calibri"/>
          <w:w w:val="105"/>
        </w:rPr>
        <w:t>Manage all singing and orchestral aspects of the show (including through the use of backing tracks if applicable).</w:t>
      </w:r>
    </w:p>
    <w:p w:rsidR="00966F94" w:rsidRPr="00966F94" w:rsidRDefault="00966F94" w:rsidP="00966F94">
      <w:pPr>
        <w:pStyle w:val="ListParagraph"/>
        <w:numPr>
          <w:ilvl w:val="0"/>
          <w:numId w:val="10"/>
        </w:numPr>
        <w:jc w:val="both"/>
        <w:rPr>
          <w:rFonts w:ascii="Calibri" w:hAnsi="Calibri" w:cs="Calibri"/>
          <w:b/>
          <w:w w:val="105"/>
        </w:rPr>
      </w:pPr>
      <w:r w:rsidRPr="00966F94">
        <w:rPr>
          <w:rFonts w:ascii="Calibri" w:hAnsi="Calibri" w:cs="Calibri"/>
          <w:w w:val="105"/>
        </w:rPr>
        <w:t>Work closely with the director and choreographer to ensure a cohesive approach.</w:t>
      </w:r>
    </w:p>
    <w:p w:rsidR="00A86449" w:rsidRPr="00966F94" w:rsidRDefault="00A86449" w:rsidP="00966F94">
      <w:pPr>
        <w:jc w:val="both"/>
        <w:rPr>
          <w:rFonts w:ascii="Calibri" w:hAnsi="Calibri" w:cs="Calibri"/>
          <w:b/>
          <w:w w:val="105"/>
        </w:rPr>
      </w:pPr>
    </w:p>
    <w:p w:rsidR="00A86449" w:rsidRPr="00966F94" w:rsidRDefault="00A86449" w:rsidP="00966F94">
      <w:pPr>
        <w:jc w:val="both"/>
        <w:rPr>
          <w:rFonts w:ascii="Calibri" w:hAnsi="Calibri" w:cs="Calibri"/>
          <w:b/>
          <w:w w:val="105"/>
        </w:rPr>
      </w:pPr>
      <w:r w:rsidRPr="00966F94">
        <w:rPr>
          <w:rFonts w:ascii="Calibri" w:hAnsi="Calibri" w:cs="Calibri"/>
          <w:b/>
          <w:w w:val="105"/>
        </w:rPr>
        <w:t>Choreographer</w:t>
      </w:r>
    </w:p>
    <w:p w:rsidR="00966F94" w:rsidRPr="00966F94" w:rsidRDefault="00966F94" w:rsidP="00966F94">
      <w:pPr>
        <w:pStyle w:val="ListParagraph"/>
        <w:numPr>
          <w:ilvl w:val="0"/>
          <w:numId w:val="10"/>
        </w:numPr>
        <w:jc w:val="both"/>
        <w:rPr>
          <w:rFonts w:ascii="Calibri" w:hAnsi="Calibri" w:cs="Calibri"/>
          <w:w w:val="105"/>
        </w:rPr>
      </w:pPr>
      <w:r w:rsidRPr="00966F94">
        <w:rPr>
          <w:rFonts w:ascii="Calibri" w:hAnsi="Calibri" w:cs="Calibri"/>
          <w:w w:val="105"/>
        </w:rPr>
        <w:t>Work within the guidelines/licence of the show to ensure its integrity.</w:t>
      </w:r>
    </w:p>
    <w:p w:rsidR="00A86449" w:rsidRPr="00966F94" w:rsidRDefault="00966F94" w:rsidP="00966F94">
      <w:pPr>
        <w:pStyle w:val="ListParagraph"/>
        <w:numPr>
          <w:ilvl w:val="0"/>
          <w:numId w:val="10"/>
        </w:numPr>
        <w:jc w:val="both"/>
        <w:rPr>
          <w:rFonts w:ascii="Calibri" w:hAnsi="Calibri" w:cs="Calibri"/>
          <w:w w:val="105"/>
        </w:rPr>
      </w:pPr>
      <w:r w:rsidRPr="00966F94">
        <w:rPr>
          <w:rFonts w:ascii="Calibri" w:hAnsi="Calibri" w:cs="Calibri"/>
          <w:w w:val="105"/>
        </w:rPr>
        <w:t>Provide clear dance direction for the team, and arrange/teach all o</w:t>
      </w:r>
      <w:r>
        <w:rPr>
          <w:rFonts w:ascii="Calibri" w:hAnsi="Calibri" w:cs="Calibri"/>
          <w:w w:val="105"/>
        </w:rPr>
        <w:t>f the choreography for the show, with assistance as required (for example from a dance captain).</w:t>
      </w:r>
    </w:p>
    <w:p w:rsidR="00966F94" w:rsidRPr="00966F94" w:rsidRDefault="00966F94" w:rsidP="00966F94">
      <w:pPr>
        <w:pStyle w:val="ListParagraph"/>
        <w:numPr>
          <w:ilvl w:val="0"/>
          <w:numId w:val="10"/>
        </w:numPr>
        <w:jc w:val="both"/>
        <w:rPr>
          <w:rFonts w:ascii="Calibri" w:hAnsi="Calibri" w:cs="Calibri"/>
          <w:b/>
          <w:w w:val="105"/>
        </w:rPr>
      </w:pPr>
      <w:r w:rsidRPr="00966F94">
        <w:rPr>
          <w:rFonts w:ascii="Calibri" w:hAnsi="Calibri" w:cs="Calibri"/>
          <w:w w:val="105"/>
        </w:rPr>
        <w:t>Work closely with the director and musical director to ensure a cohesive approach.</w:t>
      </w:r>
    </w:p>
    <w:p w:rsidR="00966F94" w:rsidRPr="00966F94" w:rsidRDefault="00966F94" w:rsidP="00966F94">
      <w:pPr>
        <w:jc w:val="both"/>
        <w:rPr>
          <w:rFonts w:ascii="Calibri" w:hAnsi="Calibri" w:cs="Calibri"/>
          <w:w w:val="105"/>
        </w:rPr>
      </w:pPr>
    </w:p>
    <w:p w:rsidR="00A86449" w:rsidRDefault="00A86449" w:rsidP="00966F94">
      <w:pPr>
        <w:jc w:val="both"/>
        <w:rPr>
          <w:rFonts w:ascii="Calibri" w:hAnsi="Calibri" w:cs="Calibri"/>
        </w:rPr>
      </w:pPr>
      <w:r w:rsidRPr="00966F94">
        <w:rPr>
          <w:rFonts w:ascii="Calibri" w:hAnsi="Calibri" w:cs="Calibri"/>
          <w:w w:val="105"/>
        </w:rPr>
        <w:t xml:space="preserve">All members of the production team must </w:t>
      </w:r>
      <w:r w:rsidR="00966F94" w:rsidRPr="00966F94">
        <w:rPr>
          <w:rFonts w:ascii="Calibri" w:hAnsi="Calibri" w:cs="Calibri"/>
        </w:rPr>
        <w:t>b</w:t>
      </w:r>
      <w:r w:rsidR="00966F94">
        <w:rPr>
          <w:rFonts w:ascii="Calibri" w:hAnsi="Calibri" w:cs="Calibri"/>
        </w:rPr>
        <w:t>e</w:t>
      </w:r>
      <w:r w:rsidRPr="00966F94">
        <w:rPr>
          <w:rFonts w:ascii="Calibri" w:hAnsi="Calibri" w:cs="Calibri"/>
        </w:rPr>
        <w:t xml:space="preserve"> positive role model</w:t>
      </w:r>
      <w:r w:rsidR="00966F94">
        <w:rPr>
          <w:rFonts w:ascii="Calibri" w:hAnsi="Calibri" w:cs="Calibri"/>
        </w:rPr>
        <w:t>s</w:t>
      </w:r>
      <w:r w:rsidRPr="00966F94">
        <w:rPr>
          <w:rFonts w:ascii="Calibri" w:hAnsi="Calibri" w:cs="Calibri"/>
        </w:rPr>
        <w:t xml:space="preserve"> and </w:t>
      </w:r>
      <w:r w:rsidR="00966F94">
        <w:rPr>
          <w:rFonts w:ascii="Calibri" w:hAnsi="Calibri" w:cs="Calibri"/>
        </w:rPr>
        <w:t xml:space="preserve">promote Promenade Productions’ core </w:t>
      </w:r>
      <w:r w:rsidRPr="00966F94">
        <w:rPr>
          <w:rFonts w:ascii="Calibri" w:hAnsi="Calibri" w:cs="Calibri"/>
        </w:rPr>
        <w:t xml:space="preserve">values </w:t>
      </w:r>
      <w:r w:rsidR="00966F94">
        <w:rPr>
          <w:rFonts w:ascii="Calibri" w:hAnsi="Calibri" w:cs="Calibri"/>
        </w:rPr>
        <w:t>of inclusivity and friendliness</w:t>
      </w:r>
      <w:r w:rsidRPr="00966F94">
        <w:rPr>
          <w:rFonts w:ascii="Calibri" w:hAnsi="Calibri" w:cs="Calibri"/>
        </w:rPr>
        <w:t>.</w:t>
      </w:r>
      <w:r w:rsidR="00966F94" w:rsidRPr="00966F94">
        <w:rPr>
          <w:rFonts w:ascii="Calibri" w:hAnsi="Calibri" w:cs="Calibri"/>
        </w:rPr>
        <w:t xml:space="preserve">  The production team are also expected to promote and safeguard the welfare of children and young people within the show </w:t>
      </w:r>
      <w:r w:rsidR="00966F94">
        <w:rPr>
          <w:rFonts w:ascii="Calibri" w:hAnsi="Calibri" w:cs="Calibri"/>
        </w:rPr>
        <w:t>in support of t</w:t>
      </w:r>
      <w:r w:rsidR="00966F94" w:rsidRPr="00966F94">
        <w:rPr>
          <w:rFonts w:ascii="Calibri" w:hAnsi="Calibri" w:cs="Calibri"/>
        </w:rPr>
        <w:t>he lead chaperone and society safeguarding officer.</w:t>
      </w:r>
    </w:p>
    <w:p w:rsidR="0017716D" w:rsidRDefault="0017716D" w:rsidP="00966F94">
      <w:pPr>
        <w:jc w:val="both"/>
        <w:rPr>
          <w:rFonts w:ascii="Calibri" w:hAnsi="Calibri" w:cs="Calibri"/>
        </w:rPr>
      </w:pPr>
    </w:p>
    <w:p w:rsidR="0017716D" w:rsidRDefault="0017716D">
      <w:pPr>
        <w:widowControl/>
        <w:autoSpaceDE/>
        <w:autoSpaceDN/>
        <w:jc w:val="both"/>
        <w:rPr>
          <w:rFonts w:ascii="Calibri" w:hAnsi="Calibri" w:cs="Calibri"/>
        </w:rPr>
      </w:pPr>
      <w:r>
        <w:rPr>
          <w:rFonts w:ascii="Calibri" w:hAnsi="Calibri" w:cs="Calibri"/>
        </w:rPr>
        <w:br w:type="page"/>
      </w:r>
    </w:p>
    <w:p w:rsidR="0017716D" w:rsidRDefault="0017716D" w:rsidP="0017716D">
      <w:pPr>
        <w:jc w:val="center"/>
        <w:rPr>
          <w:rFonts w:ascii="Impact" w:hAnsi="Impact"/>
          <w:w w:val="105"/>
          <w:sz w:val="46"/>
        </w:rPr>
      </w:pPr>
      <w:r>
        <w:rPr>
          <w:rFonts w:ascii="Impact" w:hAnsi="Impact"/>
          <w:w w:val="105"/>
          <w:sz w:val="46"/>
        </w:rPr>
        <w:lastRenderedPageBreak/>
        <w:t>Other Roles</w:t>
      </w:r>
    </w:p>
    <w:p w:rsidR="0017716D" w:rsidRDefault="0017716D" w:rsidP="0017716D">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Production Secretary</w:t>
      </w:r>
    </w:p>
    <w:p w:rsidR="00EA021A" w:rsidRPr="00EA021A" w:rsidRDefault="00EA021A" w:rsidP="00A77E30">
      <w:pPr>
        <w:jc w:val="both"/>
        <w:rPr>
          <w:rFonts w:ascii="Calibri" w:hAnsi="Calibri" w:cs="Calibri"/>
          <w:w w:val="105"/>
        </w:rPr>
      </w:pPr>
      <w:r>
        <w:rPr>
          <w:rFonts w:ascii="Calibri" w:hAnsi="Calibri" w:cs="Calibri"/>
          <w:w w:val="105"/>
        </w:rPr>
        <w:t>They are available throughout the audition and rehearsal process to assist the direct</w:t>
      </w:r>
      <w:r w:rsidR="00A77E30">
        <w:rPr>
          <w:rFonts w:ascii="Calibri" w:hAnsi="Calibri" w:cs="Calibri"/>
          <w:w w:val="105"/>
        </w:rPr>
        <w:t xml:space="preserve">or in all administrative aspects </w:t>
      </w:r>
      <w:r>
        <w:rPr>
          <w:rFonts w:ascii="Calibri" w:hAnsi="Calibri" w:cs="Calibri"/>
          <w:w w:val="105"/>
        </w:rPr>
        <w:t xml:space="preserve">of the show. This may include </w:t>
      </w:r>
      <w:proofErr w:type="spellStart"/>
      <w:r>
        <w:rPr>
          <w:rFonts w:ascii="Calibri" w:hAnsi="Calibri" w:cs="Calibri"/>
          <w:w w:val="105"/>
        </w:rPr>
        <w:t>organising</w:t>
      </w:r>
      <w:proofErr w:type="spellEnd"/>
      <w:r>
        <w:rPr>
          <w:rFonts w:ascii="Calibri" w:hAnsi="Calibri" w:cs="Calibri"/>
          <w:w w:val="105"/>
        </w:rPr>
        <w:t xml:space="preserve"> rehearsal schedules, the distribution of scores and contacting cast members with necessary information. </w:t>
      </w:r>
    </w:p>
    <w:p w:rsidR="0017716D" w:rsidRDefault="0017716D" w:rsidP="00A77E30">
      <w:pPr>
        <w:jc w:val="both"/>
        <w:rPr>
          <w:rFonts w:ascii="Calibri" w:hAnsi="Calibri" w:cs="Calibri"/>
          <w:b/>
          <w:w w:val="105"/>
        </w:rPr>
      </w:pPr>
    </w:p>
    <w:p w:rsidR="0017716D" w:rsidRDefault="0017716D" w:rsidP="00A77E30">
      <w:pPr>
        <w:jc w:val="both"/>
        <w:rPr>
          <w:rFonts w:ascii="Calibri" w:hAnsi="Calibri" w:cs="Calibri"/>
          <w:b/>
          <w:w w:val="105"/>
        </w:rPr>
      </w:pPr>
      <w:r>
        <w:rPr>
          <w:rFonts w:ascii="Calibri" w:hAnsi="Calibri" w:cs="Calibri"/>
          <w:b/>
          <w:w w:val="105"/>
        </w:rPr>
        <w:t>Stage Manager</w:t>
      </w:r>
    </w:p>
    <w:p w:rsidR="0017716D" w:rsidRDefault="0017716D" w:rsidP="00A77E30">
      <w:pPr>
        <w:jc w:val="both"/>
        <w:rPr>
          <w:rFonts w:ascii="Calibri" w:hAnsi="Calibri" w:cs="Calibri"/>
          <w:w w:val="105"/>
        </w:rPr>
      </w:pPr>
      <w:r>
        <w:rPr>
          <w:rFonts w:ascii="Calibri" w:hAnsi="Calibri" w:cs="Calibri"/>
          <w:w w:val="105"/>
        </w:rPr>
        <w:t xml:space="preserve">Has an active role in attending some rehearsals </w:t>
      </w:r>
      <w:r w:rsidR="00083C5F">
        <w:rPr>
          <w:rFonts w:ascii="Calibri" w:hAnsi="Calibri" w:cs="Calibri"/>
          <w:w w:val="105"/>
        </w:rPr>
        <w:t xml:space="preserve">(particularly in the final lead up to the show) </w:t>
      </w:r>
      <w:r>
        <w:rPr>
          <w:rFonts w:ascii="Calibri" w:hAnsi="Calibri" w:cs="Calibri"/>
          <w:w w:val="105"/>
        </w:rPr>
        <w:t>to ensure familiarity with the show and its requirements before show week.  Responsible for putting together a team of stage crew</w:t>
      </w:r>
      <w:r w:rsidR="00A77E30">
        <w:rPr>
          <w:rFonts w:ascii="Calibri" w:hAnsi="Calibri" w:cs="Calibri"/>
          <w:w w:val="105"/>
        </w:rPr>
        <w:t xml:space="preserve"> and</w:t>
      </w:r>
      <w:r>
        <w:rPr>
          <w:rFonts w:ascii="Calibri" w:hAnsi="Calibri" w:cs="Calibri"/>
          <w:w w:val="105"/>
        </w:rPr>
        <w:t xml:space="preserve"> ensuring the set is built correctly and safely.  Overseeing the show itself during show week, and ensuring any scenery changes are undertaken appropriately.  Liaising with sound and lighting as required.</w:t>
      </w:r>
      <w:r w:rsidR="00083C5F">
        <w:rPr>
          <w:rFonts w:ascii="Calibri" w:hAnsi="Calibri" w:cs="Calibri"/>
          <w:w w:val="105"/>
        </w:rPr>
        <w:t xml:space="preserve">  Responsible for managing the taking down of the set at the end of show week.</w:t>
      </w:r>
    </w:p>
    <w:p w:rsidR="0017716D" w:rsidRPr="0017716D" w:rsidRDefault="0017716D"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Deputy Stage Manager (DSM)</w:t>
      </w:r>
    </w:p>
    <w:p w:rsidR="0017716D" w:rsidRDefault="0017716D" w:rsidP="00A77E30">
      <w:pPr>
        <w:jc w:val="both"/>
        <w:rPr>
          <w:rFonts w:ascii="Calibri" w:hAnsi="Calibri" w:cs="Calibri"/>
          <w:w w:val="105"/>
        </w:rPr>
      </w:pPr>
      <w:r>
        <w:rPr>
          <w:rFonts w:ascii="Calibri" w:hAnsi="Calibri" w:cs="Calibri"/>
          <w:w w:val="105"/>
        </w:rPr>
        <w:t>Assists the stage manager and calls the show, cueing sound, lighting and cast as required.</w:t>
      </w:r>
      <w:r w:rsidR="00083C5F">
        <w:rPr>
          <w:rFonts w:ascii="Calibri" w:hAnsi="Calibri" w:cs="Calibri"/>
          <w:w w:val="105"/>
        </w:rPr>
        <w:t xml:space="preserve">  They effectively run the show during show week.</w:t>
      </w:r>
    </w:p>
    <w:p w:rsidR="0017716D" w:rsidRPr="0017716D" w:rsidRDefault="0017716D"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Assistant Stage Manager/Props (ASM)</w:t>
      </w:r>
    </w:p>
    <w:p w:rsidR="0017716D" w:rsidRDefault="0017716D" w:rsidP="00A77E30">
      <w:pPr>
        <w:jc w:val="both"/>
        <w:rPr>
          <w:rFonts w:ascii="Calibri" w:hAnsi="Calibri" w:cs="Calibri"/>
          <w:w w:val="105"/>
        </w:rPr>
      </w:pPr>
      <w:r>
        <w:rPr>
          <w:rFonts w:ascii="Calibri" w:hAnsi="Calibri" w:cs="Calibri"/>
          <w:w w:val="105"/>
        </w:rPr>
        <w:t>Sources all props required for the show (usually with some assistance), and responsible for bringing them to rehearsals as required.  Also responsible for the props during show week itself.</w:t>
      </w:r>
    </w:p>
    <w:p w:rsidR="0017716D" w:rsidRPr="0017716D" w:rsidRDefault="0017716D" w:rsidP="00A77E30">
      <w:pPr>
        <w:jc w:val="both"/>
        <w:rPr>
          <w:rFonts w:ascii="Calibri" w:hAnsi="Calibri" w:cs="Calibri"/>
          <w:w w:val="105"/>
        </w:rPr>
      </w:pPr>
      <w:r>
        <w:rPr>
          <w:rFonts w:ascii="Calibri" w:hAnsi="Calibri" w:cs="Calibri"/>
          <w:w w:val="105"/>
        </w:rPr>
        <w:t xml:space="preserve"> </w:t>
      </w:r>
    </w:p>
    <w:p w:rsidR="0017716D" w:rsidRDefault="0017716D" w:rsidP="00A77E30">
      <w:pPr>
        <w:jc w:val="both"/>
        <w:rPr>
          <w:rFonts w:ascii="Calibri" w:hAnsi="Calibri" w:cs="Calibri"/>
          <w:b/>
          <w:w w:val="105"/>
        </w:rPr>
      </w:pPr>
      <w:r>
        <w:rPr>
          <w:rFonts w:ascii="Calibri" w:hAnsi="Calibri" w:cs="Calibri"/>
          <w:b/>
          <w:w w:val="105"/>
        </w:rPr>
        <w:t>Stage Crew</w:t>
      </w:r>
    </w:p>
    <w:p w:rsidR="0017716D" w:rsidRDefault="006F5998" w:rsidP="00A77E30">
      <w:pPr>
        <w:jc w:val="both"/>
        <w:rPr>
          <w:rFonts w:ascii="Calibri" w:hAnsi="Calibri" w:cs="Calibri"/>
          <w:w w:val="105"/>
        </w:rPr>
      </w:pPr>
      <w:r>
        <w:rPr>
          <w:rFonts w:ascii="Calibri" w:hAnsi="Calibri" w:cs="Calibri"/>
          <w:w w:val="105"/>
        </w:rPr>
        <w:t>Assists in set building and taking the set down at the end of show week.  Work backstage during show week under the director of the stage manager ensuring scenery and props are moved as required.  Operate curtains/swipes and assist with anything else required by the stage manager.</w:t>
      </w:r>
    </w:p>
    <w:p w:rsidR="006F5998" w:rsidRPr="006F5998" w:rsidRDefault="006F5998"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Chaperones</w:t>
      </w:r>
    </w:p>
    <w:p w:rsidR="006F5998" w:rsidRDefault="006F5998" w:rsidP="00A77E30">
      <w:pPr>
        <w:jc w:val="both"/>
        <w:rPr>
          <w:rFonts w:ascii="Calibri" w:hAnsi="Calibri" w:cs="Calibri"/>
          <w:w w:val="105"/>
        </w:rPr>
      </w:pPr>
      <w:r>
        <w:rPr>
          <w:rFonts w:ascii="Calibri" w:hAnsi="Calibri" w:cs="Calibri"/>
          <w:w w:val="105"/>
        </w:rPr>
        <w:t>Supervises any children involved in a show to ensure compliance with The Children (Performances and Activities) (England) Regulations 2014.  This includes supervising children during rehearsals and in show week, to ensure they remain safe throughout.</w:t>
      </w:r>
    </w:p>
    <w:p w:rsidR="006F5998" w:rsidRPr="006F5998" w:rsidRDefault="006F5998"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Wardrobe</w:t>
      </w:r>
    </w:p>
    <w:p w:rsidR="006F5998" w:rsidRDefault="006F5998" w:rsidP="00A77E30">
      <w:pPr>
        <w:jc w:val="both"/>
        <w:rPr>
          <w:rFonts w:ascii="Calibri" w:hAnsi="Calibri" w:cs="Calibri"/>
          <w:w w:val="105"/>
        </w:rPr>
      </w:pPr>
      <w:r>
        <w:rPr>
          <w:rFonts w:ascii="Calibri" w:hAnsi="Calibri" w:cs="Calibri"/>
          <w:w w:val="105"/>
        </w:rPr>
        <w:t xml:space="preserve">Measure all cast to ensure appropriately sized costumes are sourced.  Source the costumes, and </w:t>
      </w:r>
      <w:proofErr w:type="spellStart"/>
      <w:r>
        <w:rPr>
          <w:rFonts w:ascii="Calibri" w:hAnsi="Calibri" w:cs="Calibri"/>
          <w:w w:val="105"/>
        </w:rPr>
        <w:t>organise</w:t>
      </w:r>
      <w:proofErr w:type="spellEnd"/>
      <w:r>
        <w:rPr>
          <w:rFonts w:ascii="Calibri" w:hAnsi="Calibri" w:cs="Calibri"/>
          <w:w w:val="105"/>
        </w:rPr>
        <w:t xml:space="preserve"> the </w:t>
      </w:r>
      <w:r w:rsidR="00083C5F">
        <w:rPr>
          <w:rFonts w:ascii="Calibri" w:hAnsi="Calibri" w:cs="Calibri"/>
          <w:w w:val="105"/>
        </w:rPr>
        <w:t>distribution of</w:t>
      </w:r>
      <w:r>
        <w:rPr>
          <w:rFonts w:ascii="Calibri" w:hAnsi="Calibri" w:cs="Calibri"/>
          <w:w w:val="105"/>
        </w:rPr>
        <w:t xml:space="preserve"> these prior to show week.  </w:t>
      </w:r>
      <w:r w:rsidR="00EA021A">
        <w:rPr>
          <w:rFonts w:ascii="Calibri" w:hAnsi="Calibri" w:cs="Calibri"/>
          <w:w w:val="105"/>
        </w:rPr>
        <w:t>Available</w:t>
      </w:r>
      <w:r>
        <w:rPr>
          <w:rFonts w:ascii="Calibri" w:hAnsi="Calibri" w:cs="Calibri"/>
          <w:w w:val="105"/>
        </w:rPr>
        <w:t xml:space="preserve"> during show week backstage to assist with quick changes, make adjustments</w:t>
      </w:r>
      <w:r w:rsidR="00083C5F">
        <w:rPr>
          <w:rFonts w:ascii="Calibri" w:hAnsi="Calibri" w:cs="Calibri"/>
          <w:w w:val="105"/>
        </w:rPr>
        <w:t xml:space="preserve"> to</w:t>
      </w:r>
      <w:r>
        <w:rPr>
          <w:rFonts w:ascii="Calibri" w:hAnsi="Calibri" w:cs="Calibri"/>
          <w:w w:val="105"/>
        </w:rPr>
        <w:t xml:space="preserve"> or mend costumes.  Responsible for ensuring all </w:t>
      </w:r>
      <w:r w:rsidR="00EA021A">
        <w:rPr>
          <w:rFonts w:ascii="Calibri" w:hAnsi="Calibri" w:cs="Calibri"/>
          <w:w w:val="105"/>
        </w:rPr>
        <w:t>costumes</w:t>
      </w:r>
      <w:r>
        <w:rPr>
          <w:rFonts w:ascii="Calibri" w:hAnsi="Calibri" w:cs="Calibri"/>
          <w:w w:val="105"/>
        </w:rPr>
        <w:t xml:space="preserve"> are returned when the show is finished, in </w:t>
      </w:r>
      <w:r w:rsidR="00083C5F">
        <w:rPr>
          <w:rFonts w:ascii="Calibri" w:hAnsi="Calibri" w:cs="Calibri"/>
          <w:w w:val="105"/>
        </w:rPr>
        <w:t>an acceptable</w:t>
      </w:r>
      <w:r>
        <w:rPr>
          <w:rFonts w:ascii="Calibri" w:hAnsi="Calibri" w:cs="Calibri"/>
          <w:w w:val="105"/>
        </w:rPr>
        <w:t xml:space="preserve"> condition.</w:t>
      </w:r>
    </w:p>
    <w:p w:rsidR="006F5998" w:rsidRPr="006F5998" w:rsidRDefault="006F5998"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Lighting operator/designer</w:t>
      </w:r>
    </w:p>
    <w:p w:rsidR="006F5998" w:rsidRDefault="006F5998" w:rsidP="00A77E30">
      <w:pPr>
        <w:jc w:val="both"/>
        <w:rPr>
          <w:rFonts w:ascii="Calibri" w:hAnsi="Calibri" w:cs="Calibri"/>
          <w:w w:val="105"/>
        </w:rPr>
      </w:pPr>
      <w:r>
        <w:rPr>
          <w:rFonts w:ascii="Calibri" w:hAnsi="Calibri" w:cs="Calibri"/>
          <w:w w:val="105"/>
        </w:rPr>
        <w:t xml:space="preserve">Liaises with the director to create a lighting design for the </w:t>
      </w:r>
      <w:r w:rsidR="00EA021A">
        <w:rPr>
          <w:rFonts w:ascii="Calibri" w:hAnsi="Calibri" w:cs="Calibri"/>
          <w:w w:val="105"/>
        </w:rPr>
        <w:t>show</w:t>
      </w:r>
      <w:r>
        <w:rPr>
          <w:rFonts w:ascii="Calibri" w:hAnsi="Calibri" w:cs="Calibri"/>
          <w:w w:val="105"/>
        </w:rPr>
        <w:t>.  In charge of all aspects of lighting for a show once in the theatre.  Puts up all the lights during get in and attends each night to run the lighting (or arranges for assistants to do so).</w:t>
      </w:r>
    </w:p>
    <w:p w:rsidR="006F5998" w:rsidRPr="006F5998" w:rsidRDefault="006F5998"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Sound operator</w:t>
      </w:r>
    </w:p>
    <w:p w:rsidR="006F5998" w:rsidRDefault="006F5998" w:rsidP="00A77E30">
      <w:pPr>
        <w:jc w:val="both"/>
        <w:rPr>
          <w:rFonts w:ascii="Calibri" w:hAnsi="Calibri" w:cs="Calibri"/>
          <w:w w:val="105"/>
        </w:rPr>
      </w:pPr>
      <w:r>
        <w:rPr>
          <w:rFonts w:ascii="Calibri" w:hAnsi="Calibri" w:cs="Calibri"/>
          <w:w w:val="105"/>
        </w:rPr>
        <w:t>Manages all aspects of sound during a show.  This may include sourcing sound effects.  Allocating radio microphones to cast members as required</w:t>
      </w:r>
      <w:r w:rsidR="00EA021A">
        <w:rPr>
          <w:rFonts w:ascii="Calibri" w:hAnsi="Calibri" w:cs="Calibri"/>
          <w:w w:val="105"/>
        </w:rPr>
        <w:t>, and monitor</w:t>
      </w:r>
      <w:r w:rsidR="00083C5F">
        <w:rPr>
          <w:rFonts w:ascii="Calibri" w:hAnsi="Calibri" w:cs="Calibri"/>
          <w:w w:val="105"/>
        </w:rPr>
        <w:t>ing</w:t>
      </w:r>
      <w:r w:rsidR="00EA021A">
        <w:rPr>
          <w:rFonts w:ascii="Calibri" w:hAnsi="Calibri" w:cs="Calibri"/>
          <w:w w:val="105"/>
        </w:rPr>
        <w:t xml:space="preserve"> sound levels throughout the show to ensure they are appropriate for the show (balancing the orchestra if one is being used</w:t>
      </w:r>
      <w:r w:rsidR="00083C5F">
        <w:rPr>
          <w:rFonts w:ascii="Calibri" w:hAnsi="Calibri" w:cs="Calibri"/>
          <w:w w:val="105"/>
        </w:rPr>
        <w:t>, or backing tracks</w:t>
      </w:r>
      <w:r w:rsidR="00EA021A">
        <w:rPr>
          <w:rFonts w:ascii="Calibri" w:hAnsi="Calibri" w:cs="Calibri"/>
          <w:w w:val="105"/>
        </w:rPr>
        <w:t>).</w:t>
      </w:r>
    </w:p>
    <w:p w:rsidR="00083C5F" w:rsidRDefault="00083C5F" w:rsidP="00A77E30">
      <w:pPr>
        <w:jc w:val="both"/>
        <w:rPr>
          <w:rFonts w:ascii="Calibri" w:hAnsi="Calibri" w:cs="Calibri"/>
          <w:w w:val="105"/>
        </w:rPr>
      </w:pPr>
    </w:p>
    <w:p w:rsidR="00EA021A" w:rsidRPr="006F5998" w:rsidRDefault="00EA021A"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lastRenderedPageBreak/>
        <w:t>Makeup</w:t>
      </w:r>
    </w:p>
    <w:p w:rsidR="00EA021A" w:rsidRDefault="00EA021A" w:rsidP="00A77E30">
      <w:pPr>
        <w:jc w:val="both"/>
        <w:rPr>
          <w:rFonts w:ascii="Calibri" w:hAnsi="Calibri" w:cs="Calibri"/>
          <w:w w:val="105"/>
        </w:rPr>
      </w:pPr>
      <w:r>
        <w:rPr>
          <w:rFonts w:ascii="Calibri" w:hAnsi="Calibri" w:cs="Calibri"/>
          <w:w w:val="105"/>
        </w:rPr>
        <w:t>Attends during show week to assist with putting makeup on the cast members which require assistance.</w:t>
      </w:r>
    </w:p>
    <w:p w:rsidR="00EA021A" w:rsidRPr="00EA021A" w:rsidRDefault="00EA021A"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Prompt</w:t>
      </w:r>
    </w:p>
    <w:p w:rsidR="00EA021A" w:rsidRDefault="00EA021A" w:rsidP="00A77E30">
      <w:pPr>
        <w:jc w:val="both"/>
        <w:rPr>
          <w:rFonts w:ascii="Calibri" w:hAnsi="Calibri" w:cs="Calibri"/>
          <w:w w:val="105"/>
        </w:rPr>
      </w:pPr>
      <w:r>
        <w:rPr>
          <w:rFonts w:ascii="Calibri" w:hAnsi="Calibri" w:cs="Calibri"/>
          <w:w w:val="105"/>
        </w:rPr>
        <w:t>Attend rehearsals as required to sit with the script and prompt any actors who require it.  May be required to attend during show week to prompt on the side of the stage.</w:t>
      </w:r>
    </w:p>
    <w:p w:rsidR="00EA021A" w:rsidRPr="00EA021A" w:rsidRDefault="00EA021A"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Front of House Manager</w:t>
      </w:r>
    </w:p>
    <w:p w:rsidR="00EA021A" w:rsidRDefault="00EA021A" w:rsidP="00A77E30">
      <w:pPr>
        <w:jc w:val="both"/>
        <w:rPr>
          <w:rFonts w:ascii="Calibri" w:hAnsi="Calibri" w:cs="Calibri"/>
          <w:w w:val="105"/>
        </w:rPr>
      </w:pPr>
      <w:r>
        <w:rPr>
          <w:rFonts w:ascii="Calibri" w:hAnsi="Calibri" w:cs="Calibri"/>
          <w:w w:val="105"/>
        </w:rPr>
        <w:t>Organises a team of people to work front of house, and acts as the primary point of contact should any audience members need assistance.  Handles any floats of money for programme sales.</w:t>
      </w:r>
    </w:p>
    <w:p w:rsidR="00EA021A" w:rsidRPr="00EA021A" w:rsidRDefault="00EA021A" w:rsidP="00A77E30">
      <w:pPr>
        <w:jc w:val="both"/>
        <w:rPr>
          <w:rFonts w:ascii="Calibri" w:hAnsi="Calibri" w:cs="Calibri"/>
          <w:w w:val="105"/>
        </w:rPr>
      </w:pPr>
    </w:p>
    <w:p w:rsidR="0017716D" w:rsidRDefault="0017716D" w:rsidP="00A77E30">
      <w:pPr>
        <w:jc w:val="both"/>
        <w:rPr>
          <w:rFonts w:ascii="Calibri" w:hAnsi="Calibri" w:cs="Calibri"/>
          <w:b/>
          <w:w w:val="105"/>
        </w:rPr>
      </w:pPr>
      <w:r>
        <w:rPr>
          <w:rFonts w:ascii="Calibri" w:hAnsi="Calibri" w:cs="Calibri"/>
          <w:b/>
          <w:w w:val="105"/>
        </w:rPr>
        <w:t>Front of House Staff</w:t>
      </w:r>
    </w:p>
    <w:p w:rsidR="00EA021A" w:rsidRPr="00EA021A" w:rsidRDefault="00EA021A" w:rsidP="00A77E30">
      <w:pPr>
        <w:jc w:val="both"/>
        <w:rPr>
          <w:rFonts w:ascii="Impact" w:hAnsi="Impact"/>
          <w:w w:val="105"/>
          <w:sz w:val="46"/>
        </w:rPr>
      </w:pPr>
      <w:r>
        <w:rPr>
          <w:rFonts w:ascii="Calibri" w:hAnsi="Calibri" w:cs="Calibri"/>
          <w:w w:val="105"/>
        </w:rPr>
        <w:t>Assist the front of house manager with any duties required, including</w:t>
      </w:r>
      <w:r w:rsidR="00083C5F">
        <w:rPr>
          <w:rFonts w:ascii="Calibri" w:hAnsi="Calibri" w:cs="Calibri"/>
          <w:w w:val="105"/>
        </w:rPr>
        <w:t xml:space="preserve"> selling programmes, ticket selling, working behind the bar and </w:t>
      </w:r>
      <w:bookmarkStart w:id="0" w:name="_GoBack"/>
      <w:bookmarkEnd w:id="0"/>
      <w:r>
        <w:rPr>
          <w:rFonts w:ascii="Calibri" w:hAnsi="Calibri" w:cs="Calibri"/>
          <w:w w:val="105"/>
        </w:rPr>
        <w:t xml:space="preserve">selling ice-creams (dependent on the </w:t>
      </w:r>
      <w:r w:rsidR="00083C5F">
        <w:rPr>
          <w:rFonts w:ascii="Calibri" w:hAnsi="Calibri" w:cs="Calibri"/>
          <w:w w:val="105"/>
        </w:rPr>
        <w:t>venue)</w:t>
      </w:r>
      <w:r>
        <w:rPr>
          <w:rFonts w:ascii="Calibri" w:hAnsi="Calibri" w:cs="Calibri"/>
          <w:w w:val="105"/>
        </w:rPr>
        <w:t>.</w:t>
      </w:r>
    </w:p>
    <w:p w:rsidR="0017716D" w:rsidRDefault="0017716D" w:rsidP="0017716D">
      <w:pPr>
        <w:jc w:val="center"/>
        <w:rPr>
          <w:rFonts w:ascii="Impact" w:hAnsi="Impact"/>
          <w:w w:val="105"/>
          <w:sz w:val="46"/>
        </w:rPr>
      </w:pPr>
    </w:p>
    <w:p w:rsidR="0017716D" w:rsidRPr="00966F94" w:rsidRDefault="0017716D" w:rsidP="0017716D">
      <w:pPr>
        <w:jc w:val="both"/>
        <w:rPr>
          <w:rFonts w:ascii="Calibri" w:hAnsi="Calibri" w:cs="Calibri"/>
          <w:w w:val="105"/>
        </w:rPr>
      </w:pPr>
    </w:p>
    <w:sectPr w:rsidR="0017716D" w:rsidRPr="00966F94" w:rsidSect="00404E4F">
      <w:headerReference w:type="default" r:id="rId8"/>
      <w:footerReference w:type="default" r:id="rId9"/>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1E" w:rsidRDefault="00DF651E" w:rsidP="00F836A7">
      <w:r>
        <w:separator/>
      </w:r>
    </w:p>
  </w:endnote>
  <w:endnote w:type="continuationSeparator" w:id="0">
    <w:p w:rsidR="00DF651E" w:rsidRDefault="00DF651E"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89" w:rsidRPr="00CF0773" w:rsidRDefault="00294589" w:rsidP="003565DC">
    <w:pPr>
      <w:pStyle w:val="Footer"/>
    </w:pPr>
  </w:p>
  <w:p w:rsidR="00294589" w:rsidRDefault="0029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1E" w:rsidRDefault="00DF651E" w:rsidP="00F836A7">
      <w:r>
        <w:separator/>
      </w:r>
    </w:p>
  </w:footnote>
  <w:footnote w:type="continuationSeparator" w:id="0">
    <w:p w:rsidR="00DF651E" w:rsidRDefault="00DF651E" w:rsidP="00F8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08" w:rsidRDefault="00C16708">
    <w:pPr>
      <w:pStyle w:val="Header"/>
    </w:pPr>
    <w:r>
      <w:rPr>
        <w:noProof/>
        <w:lang w:eastAsia="en-GB"/>
      </w:rPr>
      <w:drawing>
        <wp:anchor distT="0" distB="0" distL="114300" distR="114300" simplePos="0" relativeHeight="251659264" behindDoc="0" locked="0" layoutInCell="1" allowOverlap="1" wp14:anchorId="2D0331ED" wp14:editId="6E9F2038">
          <wp:simplePos x="0" y="0"/>
          <wp:positionH relativeFrom="page">
            <wp:align>right</wp:align>
          </wp:positionH>
          <wp:positionV relativeFrom="paragraph">
            <wp:posOffset>-451485</wp:posOffset>
          </wp:positionV>
          <wp:extent cx="7654290" cy="98615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986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4216CD"/>
    <w:multiLevelType w:val="hybridMultilevel"/>
    <w:tmpl w:val="432EAD5C"/>
    <w:lvl w:ilvl="0" w:tplc="12E2E816">
      <w:numFmt w:val="bullet"/>
      <w:lvlText w:val="-"/>
      <w:lvlJc w:val="left"/>
      <w:pPr>
        <w:ind w:left="720" w:hanging="360"/>
      </w:pPr>
      <w:rPr>
        <w:rFonts w:ascii="Calibri" w:eastAsia="Candar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8"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9"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3"/>
  </w:num>
  <w:num w:numId="6">
    <w:abstractNumId w:val="4"/>
  </w:num>
  <w:num w:numId="7">
    <w:abstractNumId w:val="1"/>
  </w:num>
  <w:num w:numId="8">
    <w:abstractNumId w:val="11"/>
  </w:num>
  <w:num w:numId="9">
    <w:abstractNumId w:val="7"/>
  </w:num>
  <w:num w:numId="10">
    <w:abstractNumId w:val="5"/>
  </w:num>
  <w:num w:numId="11">
    <w:abstractNumId w:val="0"/>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08"/>
    <w:rsid w:val="000121A1"/>
    <w:rsid w:val="000474D2"/>
    <w:rsid w:val="0006392E"/>
    <w:rsid w:val="00083C5F"/>
    <w:rsid w:val="0009273B"/>
    <w:rsid w:val="000A1F1F"/>
    <w:rsid w:val="000A24BC"/>
    <w:rsid w:val="000A7D9E"/>
    <w:rsid w:val="000B016F"/>
    <w:rsid w:val="000D115E"/>
    <w:rsid w:val="000F0791"/>
    <w:rsid w:val="000F7678"/>
    <w:rsid w:val="00100B2C"/>
    <w:rsid w:val="00147625"/>
    <w:rsid w:val="00153D7A"/>
    <w:rsid w:val="00160F2D"/>
    <w:rsid w:val="00171228"/>
    <w:rsid w:val="0017716D"/>
    <w:rsid w:val="001953E8"/>
    <w:rsid w:val="001B2BB4"/>
    <w:rsid w:val="00262FC8"/>
    <w:rsid w:val="00264542"/>
    <w:rsid w:val="00264D6F"/>
    <w:rsid w:val="002849A9"/>
    <w:rsid w:val="00294589"/>
    <w:rsid w:val="002E42CE"/>
    <w:rsid w:val="002E564C"/>
    <w:rsid w:val="002F21E2"/>
    <w:rsid w:val="003075AA"/>
    <w:rsid w:val="00313172"/>
    <w:rsid w:val="003244C7"/>
    <w:rsid w:val="00327346"/>
    <w:rsid w:val="00334584"/>
    <w:rsid w:val="003565DC"/>
    <w:rsid w:val="003B30A3"/>
    <w:rsid w:val="003F3B16"/>
    <w:rsid w:val="00404E4F"/>
    <w:rsid w:val="00427902"/>
    <w:rsid w:val="0043602B"/>
    <w:rsid w:val="004363FB"/>
    <w:rsid w:val="004370D7"/>
    <w:rsid w:val="0044483E"/>
    <w:rsid w:val="004812FB"/>
    <w:rsid w:val="004946A2"/>
    <w:rsid w:val="004A02DC"/>
    <w:rsid w:val="004D15C8"/>
    <w:rsid w:val="004E4511"/>
    <w:rsid w:val="0050051D"/>
    <w:rsid w:val="0050613D"/>
    <w:rsid w:val="00527F32"/>
    <w:rsid w:val="005340A3"/>
    <w:rsid w:val="005378E5"/>
    <w:rsid w:val="00541B7B"/>
    <w:rsid w:val="0057015A"/>
    <w:rsid w:val="00581B9C"/>
    <w:rsid w:val="0058315F"/>
    <w:rsid w:val="005869A0"/>
    <w:rsid w:val="005961FA"/>
    <w:rsid w:val="005B79E5"/>
    <w:rsid w:val="005D626A"/>
    <w:rsid w:val="005D77AB"/>
    <w:rsid w:val="005E167B"/>
    <w:rsid w:val="005F0680"/>
    <w:rsid w:val="006069BF"/>
    <w:rsid w:val="00641E45"/>
    <w:rsid w:val="00646C4E"/>
    <w:rsid w:val="00661FAB"/>
    <w:rsid w:val="00664E80"/>
    <w:rsid w:val="006A4F03"/>
    <w:rsid w:val="006C1342"/>
    <w:rsid w:val="006C3BC6"/>
    <w:rsid w:val="006C4BAC"/>
    <w:rsid w:val="006F1CED"/>
    <w:rsid w:val="006F5998"/>
    <w:rsid w:val="006F7AC4"/>
    <w:rsid w:val="007144C7"/>
    <w:rsid w:val="0076251F"/>
    <w:rsid w:val="0076478A"/>
    <w:rsid w:val="007B0193"/>
    <w:rsid w:val="007D4F3A"/>
    <w:rsid w:val="007E4826"/>
    <w:rsid w:val="007F01E5"/>
    <w:rsid w:val="007F1975"/>
    <w:rsid w:val="0080008B"/>
    <w:rsid w:val="00806C25"/>
    <w:rsid w:val="008165C4"/>
    <w:rsid w:val="00835CD6"/>
    <w:rsid w:val="008456FD"/>
    <w:rsid w:val="00860753"/>
    <w:rsid w:val="00862C4F"/>
    <w:rsid w:val="008A1D5C"/>
    <w:rsid w:val="008A4679"/>
    <w:rsid w:val="008D2867"/>
    <w:rsid w:val="008F24E0"/>
    <w:rsid w:val="00900F1D"/>
    <w:rsid w:val="00906BD3"/>
    <w:rsid w:val="00921D1F"/>
    <w:rsid w:val="00923444"/>
    <w:rsid w:val="00952C9F"/>
    <w:rsid w:val="00966F94"/>
    <w:rsid w:val="0097480A"/>
    <w:rsid w:val="009A2F38"/>
    <w:rsid w:val="009B6568"/>
    <w:rsid w:val="009B7528"/>
    <w:rsid w:val="009F6E1B"/>
    <w:rsid w:val="00A178CC"/>
    <w:rsid w:val="00A20B3D"/>
    <w:rsid w:val="00A24BFC"/>
    <w:rsid w:val="00A2732C"/>
    <w:rsid w:val="00A33D34"/>
    <w:rsid w:val="00A448E2"/>
    <w:rsid w:val="00A45210"/>
    <w:rsid w:val="00A53DF0"/>
    <w:rsid w:val="00A54D89"/>
    <w:rsid w:val="00A77E30"/>
    <w:rsid w:val="00A814B7"/>
    <w:rsid w:val="00A86449"/>
    <w:rsid w:val="00AD58EE"/>
    <w:rsid w:val="00AD6DF7"/>
    <w:rsid w:val="00AE7A10"/>
    <w:rsid w:val="00AF0A08"/>
    <w:rsid w:val="00AF0EA0"/>
    <w:rsid w:val="00AF7683"/>
    <w:rsid w:val="00B2233C"/>
    <w:rsid w:val="00B25757"/>
    <w:rsid w:val="00B43965"/>
    <w:rsid w:val="00BC0A4C"/>
    <w:rsid w:val="00BC42EB"/>
    <w:rsid w:val="00BE134A"/>
    <w:rsid w:val="00BE7B9A"/>
    <w:rsid w:val="00BF0B3A"/>
    <w:rsid w:val="00BF35BE"/>
    <w:rsid w:val="00C06EE3"/>
    <w:rsid w:val="00C1228F"/>
    <w:rsid w:val="00C15F1F"/>
    <w:rsid w:val="00C16708"/>
    <w:rsid w:val="00C1674A"/>
    <w:rsid w:val="00C2067E"/>
    <w:rsid w:val="00C27B4A"/>
    <w:rsid w:val="00C371F0"/>
    <w:rsid w:val="00C42012"/>
    <w:rsid w:val="00C7028F"/>
    <w:rsid w:val="00C76285"/>
    <w:rsid w:val="00C80230"/>
    <w:rsid w:val="00CC641A"/>
    <w:rsid w:val="00CF2E6C"/>
    <w:rsid w:val="00D01B0A"/>
    <w:rsid w:val="00D253FC"/>
    <w:rsid w:val="00D55861"/>
    <w:rsid w:val="00D92410"/>
    <w:rsid w:val="00D924ED"/>
    <w:rsid w:val="00DF651E"/>
    <w:rsid w:val="00E36136"/>
    <w:rsid w:val="00E75549"/>
    <w:rsid w:val="00E76274"/>
    <w:rsid w:val="00EA021A"/>
    <w:rsid w:val="00EA6811"/>
    <w:rsid w:val="00EA6CDF"/>
    <w:rsid w:val="00EC5C66"/>
    <w:rsid w:val="00ED6843"/>
    <w:rsid w:val="00EF36F0"/>
    <w:rsid w:val="00F51A25"/>
    <w:rsid w:val="00F66BD7"/>
    <w:rsid w:val="00F67FDA"/>
    <w:rsid w:val="00F75524"/>
    <w:rsid w:val="00F836A7"/>
    <w:rsid w:val="00F87644"/>
    <w:rsid w:val="00F93DA1"/>
    <w:rsid w:val="00FD42E7"/>
    <w:rsid w:val="00FD6CC8"/>
    <w:rsid w:val="00FE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447A"/>
  <w15:chartTrackingRefBased/>
  <w15:docId w15:val="{83A78191-F675-46BD-B740-36719D3E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6708"/>
    <w:pPr>
      <w:widowControl w:val="0"/>
      <w:autoSpaceDE w:val="0"/>
      <w:autoSpaceDN w:val="0"/>
      <w:jc w:val="left"/>
    </w:pPr>
    <w:rPr>
      <w:rFonts w:ascii="Candara" w:eastAsia="Candara" w:hAnsi="Candara" w:cs="Candara"/>
      <w:lang w:val="en-US" w:bidi="en-US"/>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45A73D"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45A73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3"/>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3"/>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3"/>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3"/>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3"/>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4"/>
      </w:numPr>
    </w:pPr>
    <w:rPr>
      <w:rFonts w:ascii="Arial" w:hAnsi="Arial" w:cs="Arial"/>
      <w:sz w:val="20"/>
      <w:szCs w:val="20"/>
    </w:rPr>
  </w:style>
  <w:style w:type="paragraph" w:customStyle="1" w:styleId="BB-Bullet2Legal">
    <w:name w:val="BB-Bullet2(Legal)"/>
    <w:uiPriority w:val="21"/>
    <w:rsid w:val="002E42CE"/>
    <w:pPr>
      <w:numPr>
        <w:ilvl w:val="1"/>
        <w:numId w:val="4"/>
      </w:numPr>
    </w:pPr>
    <w:rPr>
      <w:rFonts w:ascii="Arial" w:hAnsi="Arial" w:cs="Arial"/>
      <w:sz w:val="20"/>
      <w:szCs w:val="20"/>
    </w:rPr>
  </w:style>
  <w:style w:type="paragraph" w:customStyle="1" w:styleId="BB-Bullet3Legal">
    <w:name w:val="BB-Bullet3(Legal)"/>
    <w:uiPriority w:val="22"/>
    <w:rsid w:val="002E42CE"/>
    <w:pPr>
      <w:numPr>
        <w:ilvl w:val="2"/>
        <w:numId w:val="4"/>
      </w:numPr>
    </w:pPr>
    <w:rPr>
      <w:rFonts w:ascii="Arial" w:hAnsi="Arial" w:cs="Arial"/>
      <w:sz w:val="20"/>
      <w:szCs w:val="20"/>
    </w:rPr>
  </w:style>
  <w:style w:type="paragraph" w:customStyle="1" w:styleId="BB-Bullet4Legal">
    <w:name w:val="BB-Bullet4(Legal)"/>
    <w:uiPriority w:val="23"/>
    <w:rsid w:val="002E42CE"/>
    <w:pPr>
      <w:numPr>
        <w:ilvl w:val="3"/>
        <w:numId w:val="4"/>
      </w:numPr>
    </w:pPr>
    <w:rPr>
      <w:rFonts w:ascii="Arial" w:hAnsi="Arial" w:cs="Arial"/>
      <w:sz w:val="20"/>
      <w:szCs w:val="20"/>
    </w:rPr>
  </w:style>
  <w:style w:type="paragraph" w:customStyle="1" w:styleId="BB-Bullet5Legal">
    <w:name w:val="BB-Bullet5(Legal)"/>
    <w:uiPriority w:val="24"/>
    <w:rsid w:val="002E42CE"/>
    <w:pPr>
      <w:numPr>
        <w:ilvl w:val="4"/>
        <w:numId w:val="4"/>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45A73D"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45A73D"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5"/>
      </w:numPr>
      <w:spacing w:after="240"/>
    </w:pPr>
    <w:rPr>
      <w:rFonts w:ascii="Arial" w:hAnsi="Arial" w:cs="Arial"/>
      <w:sz w:val="20"/>
      <w:szCs w:val="20"/>
    </w:rPr>
  </w:style>
  <w:style w:type="paragraph" w:customStyle="1" w:styleId="BB-DefinitionLegal">
    <w:name w:val="BB-Definition(Legal)"/>
    <w:rsid w:val="002E42CE"/>
    <w:pPr>
      <w:numPr>
        <w:numId w:val="5"/>
      </w:numPr>
      <w:tabs>
        <w:tab w:val="left" w:pos="720"/>
      </w:tabs>
      <w:spacing w:after="240"/>
    </w:pPr>
    <w:rPr>
      <w:rFonts w:ascii="Arial" w:hAnsi="Arial" w:cs="Arial"/>
      <w:b/>
      <w:sz w:val="20"/>
      <w:szCs w:val="20"/>
    </w:rPr>
  </w:style>
  <w:style w:type="paragraph" w:customStyle="1" w:styleId="BB-PartiesLegal">
    <w:name w:val="BB-Parties(Legal)"/>
    <w:rsid w:val="002E42CE"/>
    <w:pPr>
      <w:numPr>
        <w:numId w:val="6"/>
      </w:numPr>
      <w:spacing w:after="240"/>
    </w:pPr>
    <w:rPr>
      <w:rFonts w:ascii="Arial" w:hAnsi="Arial" w:cs="Arial"/>
      <w:b/>
      <w:sz w:val="20"/>
      <w:szCs w:val="20"/>
    </w:rPr>
  </w:style>
  <w:style w:type="paragraph" w:customStyle="1" w:styleId="BB-RecitalsLegal">
    <w:name w:val="BB-Recitals(Legal)"/>
    <w:rsid w:val="002E42CE"/>
    <w:pPr>
      <w:numPr>
        <w:numId w:val="7"/>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8"/>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semiHidden/>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semiHidden/>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4F3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885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BFA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BFA4" w:themeFill="accent6" w:themeFillShade="BF"/>
      </w:tcPr>
    </w:tblStylePr>
    <w:tblStylePr w:type="band1Vert">
      <w:tblPr/>
      <w:tcPr>
        <w:tcBorders>
          <w:top w:val="nil"/>
          <w:left w:val="nil"/>
          <w:bottom w:val="nil"/>
          <w:right w:val="nil"/>
          <w:insideH w:val="nil"/>
          <w:insideV w:val="nil"/>
        </w:tcBorders>
        <w:shd w:val="clear" w:color="auto" w:fill="C4BFA4" w:themeFill="accent6" w:themeFillShade="BF"/>
      </w:tcPr>
    </w:tblStylePr>
    <w:tblStylePr w:type="band1Horz">
      <w:tblPr/>
      <w:tcPr>
        <w:tcBorders>
          <w:top w:val="nil"/>
          <w:left w:val="nil"/>
          <w:bottom w:val="nil"/>
          <w:right w:val="nil"/>
          <w:insideH w:val="nil"/>
          <w:insideV w:val="nil"/>
        </w:tcBorders>
        <w:shd w:val="clear" w:color="auto" w:fill="C4BFA4"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45A73D" w:themeColor="accent1"/>
        <w:bottom w:val="single" w:sz="4" w:space="0" w:color="45A73D" w:themeColor="accent1"/>
        <w:right w:val="single" w:sz="4" w:space="0" w:color="45A73D" w:themeColor="accent1"/>
        <w:insideH w:val="single" w:sz="4" w:space="0" w:color="FFFFFF" w:themeColor="background1"/>
        <w:insideV w:val="single" w:sz="4" w:space="0" w:color="FFFFFF" w:themeColor="background1"/>
      </w:tblBorders>
    </w:tblPr>
    <w:tcPr>
      <w:shd w:val="clear" w:color="auto" w:fill="EBF7EA" w:themeFill="accent1"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6424" w:themeFill="accent1" w:themeFillShade="99"/>
      </w:tcPr>
    </w:tblStylePr>
    <w:tblStylePr w:type="firstCol">
      <w:rPr>
        <w:color w:val="FFFFFF" w:themeColor="background1"/>
      </w:rPr>
      <w:tblPr/>
      <w:tcPr>
        <w:tcBorders>
          <w:top w:val="nil"/>
          <w:left w:val="nil"/>
          <w:bottom w:val="nil"/>
          <w:right w:val="nil"/>
          <w:insideH w:val="single" w:sz="4" w:space="0" w:color="296424" w:themeColor="accent1" w:themeShade="99"/>
          <w:insideV w:val="nil"/>
        </w:tcBorders>
        <w:shd w:val="clear" w:color="auto" w:fill="2964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6424" w:themeFill="accent1" w:themeFillShade="99"/>
      </w:tcPr>
    </w:tblStylePr>
    <w:tblStylePr w:type="band1Vert">
      <w:tblPr/>
      <w:tcPr>
        <w:shd w:val="clear" w:color="auto" w:fill="B0E0AC" w:themeFill="accent1" w:themeFillTint="66"/>
      </w:tcPr>
    </w:tblStylePr>
    <w:tblStylePr w:type="band1Horz">
      <w:tblPr/>
      <w:tcPr>
        <w:shd w:val="clear" w:color="auto" w:fill="9CD9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192947" w:themeColor="accent2"/>
        <w:left w:val="single" w:sz="4" w:space="0" w:color="192947" w:themeColor="accent2"/>
        <w:bottom w:val="single" w:sz="4" w:space="0" w:color="192947" w:themeColor="accent2"/>
        <w:right w:val="single" w:sz="4" w:space="0" w:color="192947" w:themeColor="accent2"/>
        <w:insideH w:val="single" w:sz="4" w:space="0" w:color="FFFFFF" w:themeColor="background1"/>
        <w:insideV w:val="single" w:sz="4" w:space="0" w:color="FFFFFF" w:themeColor="background1"/>
      </w:tblBorders>
    </w:tblPr>
    <w:tcPr>
      <w:shd w:val="clear" w:color="auto" w:fill="E0E7F4" w:themeFill="accent2" w:themeFillTint="19"/>
    </w:tcPr>
    <w:tblStylePr w:type="firstRow">
      <w:rPr>
        <w:b/>
        <w:bCs/>
      </w:rPr>
      <w:tblPr/>
      <w:tcPr>
        <w:tcBorders>
          <w:top w:val="nil"/>
          <w:left w:val="nil"/>
          <w:bottom w:val="single" w:sz="24" w:space="0" w:color="1929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82A" w:themeFill="accent2" w:themeFillShade="99"/>
      </w:tcPr>
    </w:tblStylePr>
    <w:tblStylePr w:type="firstCol">
      <w:rPr>
        <w:color w:val="FFFFFF" w:themeColor="background1"/>
      </w:rPr>
      <w:tblPr/>
      <w:tcPr>
        <w:tcBorders>
          <w:top w:val="nil"/>
          <w:left w:val="nil"/>
          <w:bottom w:val="nil"/>
          <w:right w:val="nil"/>
          <w:insideH w:val="single" w:sz="4" w:space="0" w:color="0F182A" w:themeColor="accent2" w:themeShade="99"/>
          <w:insideV w:val="nil"/>
        </w:tcBorders>
        <w:shd w:val="clear" w:color="auto" w:fill="0F1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82A" w:themeFill="accent2" w:themeFillShade="99"/>
      </w:tcPr>
    </w:tblStylePr>
    <w:tblStylePr w:type="band1Vert">
      <w:tblPr/>
      <w:tcPr>
        <w:shd w:val="clear" w:color="auto" w:fill="849FD4" w:themeFill="accent2" w:themeFillTint="66"/>
      </w:tcPr>
    </w:tblStylePr>
    <w:tblStylePr w:type="band1Horz">
      <w:tblPr/>
      <w:tcPr>
        <w:shd w:val="clear" w:color="auto" w:fill="6688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F18C1B" w:themeColor="accent4"/>
        <w:left w:val="single" w:sz="4" w:space="0" w:color="34BBDB" w:themeColor="accent3"/>
        <w:bottom w:val="single" w:sz="4" w:space="0" w:color="34BBDB" w:themeColor="accent3"/>
        <w:right w:val="single" w:sz="4" w:space="0" w:color="34BBDB" w:themeColor="accent3"/>
        <w:insideH w:val="single" w:sz="4" w:space="0" w:color="FFFFFF" w:themeColor="background1"/>
        <w:insideV w:val="single" w:sz="4" w:space="0" w:color="FFFFFF" w:themeColor="background1"/>
      </w:tblBorders>
    </w:tblPr>
    <w:tcPr>
      <w:shd w:val="clear" w:color="auto" w:fill="EAF8FB" w:themeFill="accent3" w:themeFillTint="19"/>
    </w:tcPr>
    <w:tblStylePr w:type="firstRow">
      <w:rPr>
        <w:b/>
        <w:bCs/>
      </w:rPr>
      <w:tblPr/>
      <w:tcPr>
        <w:tcBorders>
          <w:top w:val="nil"/>
          <w:left w:val="nil"/>
          <w:bottom w:val="single" w:sz="24" w:space="0" w:color="F18C1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489" w:themeFill="accent3" w:themeFillShade="99"/>
      </w:tcPr>
    </w:tblStylePr>
    <w:tblStylePr w:type="firstCol">
      <w:rPr>
        <w:color w:val="FFFFFF" w:themeColor="background1"/>
      </w:rPr>
      <w:tblPr/>
      <w:tcPr>
        <w:tcBorders>
          <w:top w:val="nil"/>
          <w:left w:val="nil"/>
          <w:bottom w:val="nil"/>
          <w:right w:val="nil"/>
          <w:insideH w:val="single" w:sz="4" w:space="0" w:color="187489" w:themeColor="accent3" w:themeShade="99"/>
          <w:insideV w:val="nil"/>
        </w:tcBorders>
        <w:shd w:val="clear" w:color="auto" w:fill="18748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489" w:themeFill="accent3" w:themeFillShade="99"/>
      </w:tcPr>
    </w:tblStylePr>
    <w:tblStylePr w:type="band1Vert">
      <w:tblPr/>
      <w:tcPr>
        <w:shd w:val="clear" w:color="auto" w:fill="ADE3F0" w:themeFill="accent3" w:themeFillTint="66"/>
      </w:tcPr>
    </w:tblStylePr>
    <w:tblStylePr w:type="band1Horz">
      <w:tblPr/>
      <w:tcPr>
        <w:shd w:val="clear" w:color="auto" w:fill="99DDED"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66CBE4" w:themeColor="accent3" w:themeTint="BF"/>
        <w:left w:val="single" w:sz="8" w:space="0" w:color="66CBE4" w:themeColor="accent3" w:themeTint="BF"/>
        <w:bottom w:val="single" w:sz="8" w:space="0" w:color="66CBE4" w:themeColor="accent3" w:themeTint="BF"/>
        <w:right w:val="single" w:sz="8" w:space="0" w:color="66CBE4" w:themeColor="accent3" w:themeTint="BF"/>
        <w:insideH w:val="single" w:sz="8" w:space="0" w:color="66CBE4" w:themeColor="accent3" w:themeTint="BF"/>
        <w:insideV w:val="single" w:sz="8" w:space="0" w:color="66CBE4" w:themeColor="accent3" w:themeTint="BF"/>
      </w:tblBorders>
    </w:tblPr>
    <w:tcPr>
      <w:shd w:val="clear" w:color="auto" w:fill="CCEEF6" w:themeFill="accent3" w:themeFillTint="3F"/>
    </w:tcPr>
    <w:tblStylePr w:type="firstRow">
      <w:rPr>
        <w:b/>
        <w:bCs/>
      </w:rPr>
    </w:tblStylePr>
    <w:tblStylePr w:type="lastRow">
      <w:rPr>
        <w:b/>
        <w:bCs/>
      </w:rPr>
      <w:tblPr/>
      <w:tcPr>
        <w:tcBorders>
          <w:top w:val="single" w:sz="18" w:space="0" w:color="66CBE4" w:themeColor="accent3" w:themeTint="BF"/>
        </w:tcBorders>
      </w:tcPr>
    </w:tblStylePr>
    <w:tblStylePr w:type="firstCol">
      <w:rPr>
        <w:b/>
        <w:bCs/>
      </w:rPr>
    </w:tblStylePr>
    <w:tblStylePr w:type="lastCol">
      <w:rPr>
        <w:b/>
        <w:bCs/>
      </w:rPr>
    </w:tblStylePr>
    <w:tblStylePr w:type="band1Vert">
      <w:tblPr/>
      <w:tcPr>
        <w:shd w:val="clear" w:color="auto" w:fill="99DDED" w:themeFill="accent3" w:themeFillTint="7F"/>
      </w:tcPr>
    </w:tblStylePr>
    <w:tblStylePr w:type="band1Horz">
      <w:tblPr/>
      <w:tcPr>
        <w:shd w:val="clear" w:color="auto" w:fill="99DDED"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192947"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A448E2"/>
    <w:pPr>
      <w:pBdr>
        <w:bottom w:val="single" w:sz="4" w:space="1" w:color="43A740"/>
      </w:pBdr>
    </w:pPr>
    <w:rPr>
      <w:rFonts w:ascii="Arial" w:hAnsi="Arial" w:cs="Arial"/>
      <w:sz w:val="20"/>
      <w:szCs w:val="20"/>
    </w:rPr>
  </w:style>
  <w:style w:type="paragraph" w:customStyle="1" w:styleId="BB-DefNumber2Legal">
    <w:name w:val="BB-DefNumber2(Legal)"/>
    <w:uiPriority w:val="99"/>
    <w:rsid w:val="00E76274"/>
    <w:pPr>
      <w:numPr>
        <w:ilvl w:val="2"/>
        <w:numId w:val="5"/>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192947"/>
      </a:dk2>
      <a:lt2>
        <a:srgbClr val="F4F3EE"/>
      </a:lt2>
      <a:accent1>
        <a:srgbClr val="45A73D"/>
      </a:accent1>
      <a:accent2>
        <a:srgbClr val="192947"/>
      </a:accent2>
      <a:accent3>
        <a:srgbClr val="34BBDB"/>
      </a:accent3>
      <a:accent4>
        <a:srgbClr val="F18C1B"/>
      </a:accent4>
      <a:accent5>
        <a:srgbClr val="EA5C99"/>
      </a:accent5>
      <a:accent6>
        <a:srgbClr val="F4F3EE"/>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FBFB-B310-4139-876F-9846BE79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Hemming</dc:creator>
  <cp:keywords/>
  <dc:description/>
  <cp:lastModifiedBy>Jodie Hemming</cp:lastModifiedBy>
  <cp:revision>4</cp:revision>
  <dcterms:created xsi:type="dcterms:W3CDTF">2024-06-12T12:55:00Z</dcterms:created>
  <dcterms:modified xsi:type="dcterms:W3CDTF">2024-06-12T14:39:00Z</dcterms:modified>
</cp:coreProperties>
</file>